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附件1：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南京医科大学康达学院第三届辅导员素质能力大赛参赛名额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分配表</w:t>
      </w:r>
    </w:p>
    <w:tbl>
      <w:tblPr>
        <w:tblStyle w:val="2"/>
        <w:tblpPr w:leftFromText="180" w:rightFromText="180" w:vertAnchor="text" w:horzAnchor="page" w:tblpX="1770" w:tblpY="456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系部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要求参赛名额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临床医学部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护理学系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医学技术学部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药学部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康复医学部、人文与管理学系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5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公共卫生与预防医学系、理学部、外语系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/>
          <w:sz w:val="28"/>
          <w:szCs w:val="28"/>
          <w:lang w:eastAsia="zh-CN"/>
        </w:rPr>
        <w:t>报名参赛人员不得低于要求参赛名额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）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                          </w:t>
      </w:r>
    </w:p>
    <w:p/>
    <w:sectPr>
      <w:pgSz w:w="11906" w:h="16838"/>
      <w:pgMar w:top="1417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51EE"/>
    <w:rsid w:val="058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2019-12-31T03:14:00Z</dcterms:created>
  <dc:creator>王枫</dc:creator>
  <cp:lastModifiedBy>王枫</cp:lastModifiedBy>
  <dcterms:modified xsi:type="dcterms:W3CDTF">2019-12-31T03:16:10Z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